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D7D5" w14:textId="77777777" w:rsidR="00CB2D00" w:rsidRDefault="00CB2D00" w:rsidP="00CB2D00">
      <w:r>
        <w:t xml:space="preserve">Załącznik nr 1 </w:t>
      </w:r>
    </w:p>
    <w:p w14:paraId="3DEBF5F3" w14:textId="77777777" w:rsidR="00CB2D00" w:rsidRDefault="00CB2D00" w:rsidP="00CB2D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B2D00" w:rsidRPr="00FC15EE" w14:paraId="6BD5A162" w14:textId="77777777" w:rsidTr="00512637">
        <w:tc>
          <w:tcPr>
            <w:tcW w:w="9019" w:type="dxa"/>
            <w:shd w:val="clear" w:color="auto" w:fill="D9D9D9" w:themeFill="background1" w:themeFillShade="D9"/>
          </w:tcPr>
          <w:p w14:paraId="278CBB00" w14:textId="77777777" w:rsidR="00CB2D00" w:rsidRPr="00CB2D00" w:rsidRDefault="00CB2D00" w:rsidP="00512637">
            <w:pPr>
              <w:jc w:val="center"/>
              <w:rPr>
                <w:b/>
                <w:sz w:val="18"/>
                <w:szCs w:val="18"/>
              </w:rPr>
            </w:pPr>
          </w:p>
          <w:p w14:paraId="20473097" w14:textId="72D9C5F8" w:rsidR="00CB2D00" w:rsidRDefault="00CB2D00" w:rsidP="00512637">
            <w:pPr>
              <w:jc w:val="center"/>
              <w:rPr>
                <w:b/>
                <w:sz w:val="16"/>
                <w:szCs w:val="16"/>
              </w:rPr>
            </w:pPr>
            <w:r w:rsidRPr="00FC15EE">
              <w:rPr>
                <w:b/>
              </w:rPr>
              <w:t xml:space="preserve">CZYNNIKI RYZYKA KRZYWDZENIA </w:t>
            </w:r>
            <w:r>
              <w:rPr>
                <w:b/>
              </w:rPr>
              <w:t>MAŁOLETNIEGO</w:t>
            </w:r>
          </w:p>
          <w:p w14:paraId="661FC501" w14:textId="77777777" w:rsidR="00CB2D00" w:rsidRPr="00CB2D00" w:rsidRDefault="00CB2D00" w:rsidP="005126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D9D2DA0" w14:textId="77777777" w:rsidR="00CB2D00" w:rsidRDefault="00CB2D00" w:rsidP="00CB2D00">
      <w:pPr>
        <w:jc w:val="both"/>
      </w:pPr>
    </w:p>
    <w:p w14:paraId="310F1D3B" w14:textId="61827282" w:rsidR="00CB2D00" w:rsidRPr="00CB2D00" w:rsidRDefault="00CB2D00" w:rsidP="00CB2D00">
      <w:pPr>
        <w:ind w:firstLine="708"/>
        <w:jc w:val="both"/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>Za czynniki ryzyka rozumie się takie wskaźniki (sytuacje, wydarzenia, cechy podmiotowe małoletniego, innych osób lub środowiska oraz inne zjawisk</w:t>
      </w:r>
      <w:r w:rsidR="00146F7F">
        <w:rPr>
          <w:rFonts w:ascii="Calibri Light" w:hAnsi="Calibri Light" w:cs="Calibri Light"/>
        </w:rPr>
        <w:t xml:space="preserve">a), które identyfikuje się jako </w:t>
      </w:r>
      <w:r w:rsidRPr="00AE16D6">
        <w:rPr>
          <w:rFonts w:ascii="Calibri Light" w:hAnsi="Calibri Light" w:cs="Calibri Light"/>
          <w:u w:val="single"/>
        </w:rPr>
        <w:t>zwiększające ryzyko</w:t>
      </w:r>
      <w:r w:rsidRPr="00CB2D00">
        <w:rPr>
          <w:rFonts w:ascii="Calibri Light" w:hAnsi="Calibri Light" w:cs="Calibri Light"/>
        </w:rPr>
        <w:t xml:space="preserve"> krzywdzenia małoletniego. </w:t>
      </w:r>
    </w:p>
    <w:p w14:paraId="7935103B" w14:textId="047CDB80" w:rsidR="00CB2D00" w:rsidRPr="00CB2D00" w:rsidRDefault="00CB2D00" w:rsidP="00CB2D00">
      <w:pPr>
        <w:ind w:firstLine="708"/>
        <w:jc w:val="both"/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>Choć małoletni nigdy nie jest winny doznawanej krzywdy, uznaje się, że niektóre jego cechy, związane np. ze stanem zdrowia, poziomem rozwoju, funkcjonowaniem</w:t>
      </w:r>
      <w:r w:rsidR="00146F7F">
        <w:rPr>
          <w:rFonts w:ascii="Calibri Light" w:hAnsi="Calibri Light" w:cs="Calibri Light"/>
        </w:rPr>
        <w:t>, czy pozycją w rodzinie, mogą narażać go</w:t>
      </w:r>
      <w:r w:rsidRPr="00CB2D00">
        <w:rPr>
          <w:rFonts w:ascii="Calibri Light" w:hAnsi="Calibri Light" w:cs="Calibri Light"/>
        </w:rPr>
        <w:t xml:space="preserve"> na doświadczanie krzywdzen</w:t>
      </w:r>
      <w:r w:rsidR="00146F7F">
        <w:rPr>
          <w:rFonts w:ascii="Calibri Light" w:hAnsi="Calibri Light" w:cs="Calibri Light"/>
        </w:rPr>
        <w:t xml:space="preserve">ia w relacji z innymi (rodziną, </w:t>
      </w:r>
      <w:r w:rsidRPr="00CB2D00">
        <w:rPr>
          <w:rFonts w:ascii="Calibri Light" w:hAnsi="Calibri Light" w:cs="Calibri Light"/>
        </w:rPr>
        <w:t>rówieśnikami, innymi dorosłymi) lub zwiększać ryzyko doznania takiej krzywdy.</w:t>
      </w:r>
    </w:p>
    <w:p w14:paraId="74EB673E" w14:textId="787BDD5F" w:rsidR="00CB2D00" w:rsidRPr="00CB2D00" w:rsidRDefault="00CB2D00" w:rsidP="00CB2D00">
      <w:pPr>
        <w:ind w:firstLine="708"/>
        <w:jc w:val="both"/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>Wiele z czynników ryzyka krzywdzenia związa</w:t>
      </w:r>
      <w:r w:rsidR="00146F7F">
        <w:rPr>
          <w:rFonts w:ascii="Calibri Light" w:hAnsi="Calibri Light" w:cs="Calibri Light"/>
        </w:rPr>
        <w:t xml:space="preserve">ne jest z osobami najbliższymi. </w:t>
      </w:r>
      <w:r w:rsidRPr="00CB2D00">
        <w:rPr>
          <w:rFonts w:ascii="Calibri Light" w:hAnsi="Calibri Light" w:cs="Calibri Light"/>
        </w:rPr>
        <w:t>Przy</w:t>
      </w:r>
      <w:r w:rsidR="00146F7F">
        <w:rPr>
          <w:rFonts w:ascii="Calibri Light" w:hAnsi="Calibri Light" w:cs="Calibri Light"/>
        </w:rPr>
        <w:t xml:space="preserve"> identyfikacji ryzyka warto </w:t>
      </w:r>
      <w:r w:rsidRPr="00CB2D00">
        <w:rPr>
          <w:rFonts w:ascii="Calibri Light" w:hAnsi="Calibri Light" w:cs="Calibri Light"/>
        </w:rPr>
        <w:t>powstrzymywać</w:t>
      </w:r>
      <w:r w:rsidR="00146F7F">
        <w:rPr>
          <w:rFonts w:ascii="Calibri Light" w:hAnsi="Calibri Light" w:cs="Calibri Light"/>
        </w:rPr>
        <w:t xml:space="preserve"> się</w:t>
      </w:r>
      <w:r w:rsidRPr="00CB2D00">
        <w:rPr>
          <w:rFonts w:ascii="Calibri Light" w:hAnsi="Calibri Light" w:cs="Calibri Light"/>
        </w:rPr>
        <w:t xml:space="preserve"> od</w:t>
      </w:r>
      <w:r w:rsidR="00146F7F">
        <w:rPr>
          <w:rFonts w:ascii="Calibri Light" w:hAnsi="Calibri Light" w:cs="Calibri Light"/>
        </w:rPr>
        <w:t xml:space="preserve"> oceny moralnej i przypisywania </w:t>
      </w:r>
      <w:r w:rsidRPr="00CB2D00">
        <w:rPr>
          <w:rFonts w:ascii="Calibri Light" w:hAnsi="Calibri Light" w:cs="Calibri Light"/>
        </w:rPr>
        <w:t xml:space="preserve">odpowiedzialności rodzicom. Zdecydowana większość dorosłych, którzy mają pod opieką swoje dzieci jest świadoma problemów i robi co w ich mocy by ochronić dzieci przed ich skutkami. </w:t>
      </w:r>
    </w:p>
    <w:p w14:paraId="2E81BBE8" w14:textId="030FD75D" w:rsidR="00CB2D00" w:rsidRPr="00CB2D00" w:rsidRDefault="00CB2D00" w:rsidP="00CB2D00">
      <w:pPr>
        <w:ind w:firstLine="708"/>
        <w:jc w:val="both"/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 xml:space="preserve">Czynniki ryzyka występujące w sytuacji małoletniego </w:t>
      </w:r>
      <w:r w:rsidR="00146F7F">
        <w:rPr>
          <w:rFonts w:ascii="Calibri Light" w:hAnsi="Calibri Light" w:cs="Calibri Light"/>
        </w:rPr>
        <w:t xml:space="preserve">powinny wskazywać nam, że warto </w:t>
      </w:r>
      <w:r w:rsidRPr="00CB2D00">
        <w:rPr>
          <w:rFonts w:ascii="Calibri Light" w:hAnsi="Calibri Light" w:cs="Calibri Light"/>
        </w:rPr>
        <w:t>zwrócić na niego szczególną i stałą uwa</w:t>
      </w:r>
      <w:r w:rsidR="00146F7F">
        <w:rPr>
          <w:rFonts w:ascii="Calibri Light" w:hAnsi="Calibri Light" w:cs="Calibri Light"/>
        </w:rPr>
        <w:t xml:space="preserve">gę. </w:t>
      </w:r>
      <w:r w:rsidRPr="00CB2D00">
        <w:rPr>
          <w:rFonts w:ascii="Calibri Light" w:hAnsi="Calibri Light" w:cs="Calibri Light"/>
        </w:rPr>
        <w:t xml:space="preserve">Warto </w:t>
      </w:r>
      <w:r w:rsidR="00146F7F">
        <w:rPr>
          <w:rFonts w:ascii="Calibri Light" w:hAnsi="Calibri Light" w:cs="Calibri Light"/>
        </w:rPr>
        <w:t xml:space="preserve">monitorować w sposób stały jego </w:t>
      </w:r>
      <w:r w:rsidRPr="00CB2D00">
        <w:rPr>
          <w:rFonts w:ascii="Calibri Light" w:hAnsi="Calibri Light" w:cs="Calibri Light"/>
        </w:rPr>
        <w:t xml:space="preserve">funkcjonowanie pod kątem jego dobrostanu i </w:t>
      </w:r>
      <w:r w:rsidR="00146F7F">
        <w:rPr>
          <w:rFonts w:ascii="Calibri Light" w:hAnsi="Calibri Light" w:cs="Calibri Light"/>
        </w:rPr>
        <w:t xml:space="preserve">to, </w:t>
      </w:r>
      <w:r w:rsidRPr="00CB2D00">
        <w:rPr>
          <w:rFonts w:ascii="Calibri Light" w:hAnsi="Calibri Light" w:cs="Calibri Light"/>
        </w:rPr>
        <w:t xml:space="preserve">czy nie jest ono zakłócane przez krzywdzenie. </w:t>
      </w:r>
    </w:p>
    <w:p w14:paraId="5BC85AED" w14:textId="2A323428" w:rsidR="00CB2D00" w:rsidRPr="00CB2D00" w:rsidRDefault="00CB2D00" w:rsidP="00CB2D00">
      <w:pPr>
        <w:ind w:firstLine="708"/>
        <w:jc w:val="both"/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 xml:space="preserve">Wyodrębnić można co najmniej </w:t>
      </w:r>
      <w:r w:rsidRPr="00CB2D00">
        <w:rPr>
          <w:rFonts w:ascii="Calibri Light" w:hAnsi="Calibri Light" w:cs="Calibri Light"/>
          <w:b/>
        </w:rPr>
        <w:t>trzy ważne grupy czynników ryzyka</w:t>
      </w:r>
      <w:r w:rsidR="00146F7F">
        <w:rPr>
          <w:rFonts w:ascii="Calibri Light" w:hAnsi="Calibri Light" w:cs="Calibri Light"/>
        </w:rPr>
        <w:t xml:space="preserve">, które mogą </w:t>
      </w:r>
      <w:r w:rsidRPr="00CB2D00">
        <w:rPr>
          <w:rFonts w:ascii="Calibri Light" w:hAnsi="Calibri Light" w:cs="Calibri Light"/>
        </w:rPr>
        <w:t>wskazywać na ryzyko pojawienia się krzywdzenia. List</w:t>
      </w:r>
      <w:r w:rsidR="00146F7F">
        <w:rPr>
          <w:rFonts w:ascii="Calibri Light" w:hAnsi="Calibri Light" w:cs="Calibri Light"/>
        </w:rPr>
        <w:t xml:space="preserve">a tych czynników nie jest pełna </w:t>
      </w:r>
      <w:r w:rsidRPr="00CB2D00">
        <w:rPr>
          <w:rFonts w:ascii="Calibri Light" w:hAnsi="Calibri Light" w:cs="Calibri Light"/>
        </w:rPr>
        <w:t xml:space="preserve">i nie wyczerpuje </w:t>
      </w:r>
      <w:r w:rsidR="00B66F67">
        <w:rPr>
          <w:rFonts w:ascii="Calibri Light" w:hAnsi="Calibri Light" w:cs="Calibri Light"/>
        </w:rPr>
        <w:t xml:space="preserve">omawianego zagadnienia. </w:t>
      </w:r>
    </w:p>
    <w:p w14:paraId="4B0093F8" w14:textId="11201309" w:rsidR="00CB2D00" w:rsidRPr="00CB2D00" w:rsidRDefault="00CB2D00" w:rsidP="00CB2D00">
      <w:pPr>
        <w:jc w:val="both"/>
        <w:rPr>
          <w:rFonts w:ascii="Calibri Light" w:hAnsi="Calibri Light" w:cs="Calibri Light"/>
        </w:rPr>
      </w:pPr>
    </w:p>
    <w:p w14:paraId="70397BA4" w14:textId="77777777" w:rsidR="00CB2D00" w:rsidRPr="00CB2D00" w:rsidRDefault="00CB2D00" w:rsidP="00CB2D00">
      <w:pPr>
        <w:pStyle w:val="Akapitzlist"/>
        <w:numPr>
          <w:ilvl w:val="0"/>
          <w:numId w:val="4"/>
        </w:numPr>
        <w:ind w:left="426" w:hanging="284"/>
        <w:rPr>
          <w:rFonts w:ascii="Calibri Light" w:hAnsi="Calibri Light" w:cs="Calibri Light"/>
          <w:b/>
        </w:rPr>
      </w:pPr>
      <w:r w:rsidRPr="00CB2D00">
        <w:rPr>
          <w:rFonts w:ascii="Calibri Light" w:hAnsi="Calibri Light" w:cs="Calibri Light"/>
          <w:b/>
        </w:rPr>
        <w:t>CZYNNIKI ZWIĄZANE Z MAŁOLETNIM</w:t>
      </w:r>
    </w:p>
    <w:p w14:paraId="684927A7" w14:textId="77777777" w:rsidR="00CB2D00" w:rsidRPr="00CB2D00" w:rsidRDefault="00CB2D00" w:rsidP="00CB2D00">
      <w:pPr>
        <w:jc w:val="both"/>
        <w:rPr>
          <w:rFonts w:ascii="Calibri Light" w:hAnsi="Calibri Light" w:cs="Calibri Light"/>
          <w:b/>
        </w:rPr>
      </w:pPr>
      <w:r w:rsidRPr="00CB2D00">
        <w:rPr>
          <w:rFonts w:ascii="Calibri Light" w:hAnsi="Calibri Light" w:cs="Calibri Light"/>
          <w:b/>
        </w:rPr>
        <w:t xml:space="preserve"> </w:t>
      </w:r>
    </w:p>
    <w:tbl>
      <w:tblPr>
        <w:tblW w:w="9924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6379"/>
      </w:tblGrid>
      <w:tr w:rsidR="00CB2D00" w:rsidRPr="00CB2D00" w14:paraId="4AFCC9FF" w14:textId="77777777" w:rsidTr="00CB2D00">
        <w:trPr>
          <w:trHeight w:val="52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33338" w14:textId="77777777" w:rsidR="00CB2D00" w:rsidRPr="00CB2D00" w:rsidRDefault="00CB2D00" w:rsidP="00CB2D0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2D00">
              <w:rPr>
                <w:rFonts w:ascii="Calibri Light" w:hAnsi="Calibri Light" w:cs="Calibri Light"/>
                <w:b/>
              </w:rPr>
              <w:t>Czynniki ryzyka</w:t>
            </w:r>
          </w:p>
        </w:tc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0C75C" w14:textId="77777777" w:rsidR="00CB2D00" w:rsidRPr="00CB2D00" w:rsidRDefault="00CB2D00" w:rsidP="00CB2D0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2D00">
              <w:rPr>
                <w:rFonts w:ascii="Calibri Light" w:hAnsi="Calibri Light" w:cs="Calibri Light"/>
                <w:b/>
              </w:rPr>
              <w:t>Opis</w:t>
            </w:r>
          </w:p>
        </w:tc>
      </w:tr>
      <w:tr w:rsidR="00CB2D00" w:rsidRPr="00CB2D00" w14:paraId="183B1AB1" w14:textId="77777777" w:rsidTr="00CB2D00">
        <w:trPr>
          <w:trHeight w:val="1912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DE109B" w14:textId="77777777" w:rsidR="00CB2D00" w:rsidRPr="00CB2D00" w:rsidRDefault="00CB2D00" w:rsidP="00CB2D00">
            <w:pPr>
              <w:pStyle w:val="Akapitzlist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przedwczesny poród,</w:t>
            </w:r>
          </w:p>
          <w:p w14:paraId="082FE367" w14:textId="77777777" w:rsidR="00CB2D00" w:rsidRPr="00CB2D00" w:rsidRDefault="00CB2D00" w:rsidP="00CB2D00">
            <w:pPr>
              <w:pStyle w:val="Akapitzlist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poród bez pomocy medycznej,</w:t>
            </w:r>
          </w:p>
          <w:p w14:paraId="303398C5" w14:textId="77777777" w:rsidR="00CB2D00" w:rsidRPr="00CB2D00" w:rsidRDefault="00CB2D00" w:rsidP="00CB2D00">
            <w:pPr>
              <w:pStyle w:val="Akapitzlist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niska waga urodzeniowa,</w:t>
            </w:r>
          </w:p>
          <w:p w14:paraId="467899CE" w14:textId="77777777" w:rsidR="00CB2D00" w:rsidRPr="00CB2D00" w:rsidRDefault="00CB2D00" w:rsidP="00CB2D00">
            <w:pPr>
              <w:pStyle w:val="Akapitzlist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poród z ciąży bliźniaczej lub mnogiej,</w:t>
            </w:r>
          </w:p>
          <w:p w14:paraId="1BB13E51" w14:textId="77777777" w:rsidR="00CB2D00" w:rsidRPr="00CB2D00" w:rsidRDefault="00CB2D00" w:rsidP="00CB2D00">
            <w:pPr>
              <w:pStyle w:val="Akapitzlist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krótkie przerwy pomiędzy kolejnymi porodami</w:t>
            </w:r>
          </w:p>
          <w:p w14:paraId="79B07207" w14:textId="77777777" w:rsidR="00CB2D00" w:rsidRPr="00CB2D00" w:rsidRDefault="00CB2D00" w:rsidP="00CB2D00">
            <w:p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37720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07A8DD4C" w14:textId="0531900B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Początek życia małoletniego, okoliczności jego narodzin, takie jak: przedwczesny poród, poród bez pomocy medycznej, niska waga urodzeniowa, narodziny z ciąży mnogiej oraz krótka przerwa pomiędzy kolejnymi porodami, mogą być czynnikami ryzyka krzywdzenia. Wszystkie te sytuacje stanowią ogromne obciążenie psychiczne i fizyczne dla rodziców i wpływają na dalszy rozwój dziecka.</w:t>
            </w:r>
          </w:p>
          <w:p w14:paraId="743E61CE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2D00" w:rsidRPr="00CB2D00" w14:paraId="3CE86551" w14:textId="77777777" w:rsidTr="00CB2D00">
        <w:trPr>
          <w:trHeight w:val="1259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7BBFB5" w14:textId="77777777" w:rsidR="00CB2D00" w:rsidRPr="00CB2D00" w:rsidRDefault="00CB2D00" w:rsidP="00CB2D00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długotrwały płacz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66090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44635E09" w14:textId="69258A12" w:rsidR="00CB2D00" w:rsidRPr="00CB2D00" w:rsidRDefault="00CB2D00" w:rsidP="00CF2F0B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Nadmierna płaczliwość małoletniego z kolei budzi </w:t>
            </w:r>
            <w:r w:rsidRPr="005D3E65">
              <w:rPr>
                <w:rFonts w:ascii="Calibri Light" w:hAnsi="Calibri Light" w:cs="Calibri Light"/>
                <w:b/>
              </w:rPr>
              <w:t>bezradność</w:t>
            </w:r>
            <w:r w:rsidRPr="00CB2D00">
              <w:rPr>
                <w:rFonts w:ascii="Calibri Light" w:hAnsi="Calibri Light" w:cs="Calibri Light"/>
              </w:rPr>
              <w:t xml:space="preserve">, </w:t>
            </w:r>
            <w:r w:rsidRPr="005D3E65">
              <w:rPr>
                <w:rFonts w:ascii="Calibri Light" w:hAnsi="Calibri Light" w:cs="Calibri Light"/>
                <w:b/>
              </w:rPr>
              <w:t>poczucie winy rodzica</w:t>
            </w:r>
            <w:r w:rsidRPr="00CB2D00">
              <w:rPr>
                <w:rFonts w:ascii="Calibri Light" w:hAnsi="Calibri Light" w:cs="Calibri Light"/>
              </w:rPr>
              <w:t xml:space="preserve">; stany te mogą zamienić się w </w:t>
            </w:r>
            <w:r w:rsidR="00C94936" w:rsidRPr="005D3E65">
              <w:rPr>
                <w:rFonts w:ascii="Calibri Light" w:hAnsi="Calibri Light" w:cs="Calibri Light"/>
                <w:b/>
              </w:rPr>
              <w:t>złość</w:t>
            </w:r>
            <w:r w:rsidR="00C94936">
              <w:rPr>
                <w:rFonts w:ascii="Calibri Light" w:hAnsi="Calibri Light" w:cs="Calibri Light"/>
              </w:rPr>
              <w:t xml:space="preserve">, bezsilność, </w:t>
            </w:r>
            <w:r w:rsidRPr="00CB2D00">
              <w:rPr>
                <w:rFonts w:ascii="Calibri Light" w:hAnsi="Calibri Light" w:cs="Calibri Light"/>
              </w:rPr>
              <w:t>a w kon</w:t>
            </w:r>
            <w:r w:rsidR="00C94936">
              <w:rPr>
                <w:rFonts w:ascii="Calibri Light" w:hAnsi="Calibri Light" w:cs="Calibri Light"/>
              </w:rPr>
              <w:t xml:space="preserve">sekwencji wywołać agresję wobec </w:t>
            </w:r>
            <w:r w:rsidRPr="00CB2D00">
              <w:rPr>
                <w:rFonts w:ascii="Calibri Light" w:hAnsi="Calibri Light" w:cs="Calibri Light"/>
              </w:rPr>
              <w:t>małoletniego</w:t>
            </w:r>
            <w:r w:rsidR="00C94936">
              <w:rPr>
                <w:rFonts w:ascii="Calibri Light" w:hAnsi="Calibri Light" w:cs="Calibri Light"/>
              </w:rPr>
              <w:t>,</w:t>
            </w:r>
            <w:r w:rsidRPr="00CB2D00">
              <w:rPr>
                <w:rFonts w:ascii="Calibri Light" w:hAnsi="Calibri Light" w:cs="Calibri Light"/>
              </w:rPr>
              <w:t xml:space="preserve"> czy jego odrzucenie.</w:t>
            </w:r>
          </w:p>
          <w:p w14:paraId="331B646D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2D00" w:rsidRPr="00CB2D00" w14:paraId="62F4FA81" w14:textId="77777777" w:rsidTr="00CB2D00">
        <w:trPr>
          <w:trHeight w:val="1875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83A559" w14:textId="77777777" w:rsidR="00CB2D00" w:rsidRPr="00CB2D00" w:rsidRDefault="00CB2D00" w:rsidP="00CB2D00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wiek małoletniego</w:t>
            </w:r>
          </w:p>
          <w:p w14:paraId="676B27C3" w14:textId="77777777" w:rsidR="00CB2D00" w:rsidRPr="00CB2D00" w:rsidRDefault="00CB2D00" w:rsidP="00CB2D00">
            <w:p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15B47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4BED2017" w14:textId="22B01DF3" w:rsidR="00CB2D00" w:rsidRPr="00CB2D00" w:rsidRDefault="00CB2D00" w:rsidP="005A13FD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Czynnikiem ryzyka krzywdzenia może być także określony wiek małoletniego. W rozwoju małoletniego występują tzw. okresy krytyczne, w których jest większe prawdopodobieństwo pojawienia się pewnych </w:t>
            </w:r>
            <w:r w:rsidR="005811CA">
              <w:rPr>
                <w:rFonts w:ascii="Calibri Light" w:hAnsi="Calibri Light" w:cs="Calibri Light"/>
              </w:rPr>
              <w:t>rodzajów krzywdzenia. Najmłodsi</w:t>
            </w:r>
            <w:r w:rsidRPr="00CB2D00">
              <w:rPr>
                <w:rFonts w:ascii="Calibri Light" w:hAnsi="Calibri Light" w:cs="Calibri Light"/>
              </w:rPr>
              <w:t xml:space="preserve"> małoletni </w:t>
            </w:r>
            <w:r w:rsidR="005A13FD">
              <w:rPr>
                <w:rFonts w:ascii="Calibri Light" w:hAnsi="Calibri Light" w:cs="Calibri Light"/>
              </w:rPr>
              <w:t>(do 3 r.ż.)  są bardziej zależni</w:t>
            </w:r>
            <w:r w:rsidRPr="00CB2D00">
              <w:rPr>
                <w:rFonts w:ascii="Calibri Light" w:hAnsi="Calibri Light" w:cs="Calibri Light"/>
              </w:rPr>
              <w:t xml:space="preserve"> od opiekunów i spędzają z nimi więcej czasu. Małoletni w tym wieku mają mniejszą zdolność dostosowania się do oczekiwań dorosłych, a także słabiej panują nad emocjami.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D00">
              <w:rPr>
                <w:rFonts w:ascii="Calibri Light" w:hAnsi="Calibri Light" w:cs="Calibri Light"/>
              </w:rPr>
              <w:t>To sprawia</w:t>
            </w:r>
            <w:r w:rsidR="00046073">
              <w:rPr>
                <w:rFonts w:ascii="Calibri Light" w:hAnsi="Calibri Light" w:cs="Calibri Light"/>
              </w:rPr>
              <w:t>, że ryzyko doznawania przez nich</w:t>
            </w:r>
            <w:r w:rsidRPr="00CB2D00">
              <w:rPr>
                <w:rFonts w:ascii="Calibri Light" w:hAnsi="Calibri Light" w:cs="Calibri Light"/>
              </w:rPr>
              <w:t xml:space="preserve"> krzywdy fizycznej i psychicznej jest większe. Badania wskazują także, że w okresie od osiągnięcia 8 r.ż. przez cały czas dojrzewania małoletni </w:t>
            </w:r>
            <w:r w:rsidR="005A13FD">
              <w:rPr>
                <w:rFonts w:ascii="Calibri Light" w:hAnsi="Calibri Light" w:cs="Calibri Light"/>
              </w:rPr>
              <w:t>są bardziej narażeni</w:t>
            </w:r>
            <w:r w:rsidRPr="00CB2D00">
              <w:rPr>
                <w:rFonts w:ascii="Calibri Light" w:hAnsi="Calibri Light" w:cs="Calibri Light"/>
              </w:rPr>
              <w:t xml:space="preserve"> na ryzyko wykorzystywania seksualnego.</w:t>
            </w:r>
          </w:p>
        </w:tc>
      </w:tr>
      <w:tr w:rsidR="00CB2D00" w:rsidRPr="00CB2D00" w14:paraId="289CFFD2" w14:textId="77777777" w:rsidTr="00CB2D00">
        <w:trPr>
          <w:trHeight w:val="1875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3B1322" w14:textId="77777777" w:rsidR="00CB2D00" w:rsidRPr="00CB2D00" w:rsidRDefault="00CB2D00" w:rsidP="00CB2D00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lastRenderedPageBreak/>
              <w:t>przewlekłe choroby,</w:t>
            </w:r>
          </w:p>
          <w:p w14:paraId="5459EB3F" w14:textId="77777777" w:rsidR="00CB2D00" w:rsidRPr="00CB2D00" w:rsidRDefault="00CB2D00" w:rsidP="00CB2D00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niepełnosprawność intelektualna,</w:t>
            </w:r>
          </w:p>
          <w:p w14:paraId="18A2BF4F" w14:textId="77777777" w:rsidR="00CB2D00" w:rsidRPr="00CB2D00" w:rsidRDefault="00CB2D00" w:rsidP="00CB2D00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niepełnosprawność ruchowa</w:t>
            </w:r>
          </w:p>
          <w:p w14:paraId="3691F0FF" w14:textId="77777777" w:rsidR="00CB2D00" w:rsidRPr="00CB2D00" w:rsidRDefault="00CB2D00" w:rsidP="00CB2D00">
            <w:p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7426D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</w:p>
          <w:p w14:paraId="381C16A1" w14:textId="6CACA554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Okolicznością zwiększającą prawdopodobieństwo krzywdzenia jest niepełnosprawność intelektualna małoletniego, mocno powiązana z ryzykiem wystąpienia krzywdzenia fizycznego oraz wykorzystania seksualnego. Również przewlekłe choroby somatyczne oraz niepełnosprawność ruchowa skutkują dużą, a także trwałą zmianą życia dziecka p</w:t>
            </w:r>
            <w:r w:rsidR="005D3E65">
              <w:rPr>
                <w:rFonts w:ascii="Calibri Light" w:hAnsi="Calibri Light" w:cs="Calibri Light"/>
              </w:rPr>
              <w:t xml:space="preserve">owodując jego </w:t>
            </w:r>
            <w:r w:rsidR="005D3E65" w:rsidRPr="005D3E65">
              <w:rPr>
                <w:rFonts w:ascii="Calibri Light" w:hAnsi="Calibri Light" w:cs="Calibri Light"/>
                <w:b/>
              </w:rPr>
              <w:t>większą zależność</w:t>
            </w:r>
            <w:r w:rsidR="005D3E65">
              <w:rPr>
                <w:rFonts w:ascii="Calibri Light" w:hAnsi="Calibri Light" w:cs="Calibri Light"/>
              </w:rPr>
              <w:t xml:space="preserve"> </w:t>
            </w:r>
            <w:r w:rsidRPr="00CB2D00">
              <w:rPr>
                <w:rFonts w:ascii="Calibri Light" w:hAnsi="Calibri Light" w:cs="Calibri Light"/>
              </w:rPr>
              <w:t>od innych. Bez odpowiedniego wsparcia małoletni i jego rodzina są istotnie bardziej narażeni na wystąpienie trudnych sytuacji i frustracji. Mechanizmy te mogą prowadzić do krzywdzenia, mogącego przybrać formę jawnego odrzucenia małoletniego, biernego zaniedbywania lub nawet czynnych form przemocy, związanych z rozładowywaniem frustracji. W sytuacji niepełnosprawności lub choroby małoletniego może dojść również do przemocy psychicznej, która niekiedy wynika ze stawiania małoletn</w:t>
            </w:r>
            <w:r w:rsidR="008709BD">
              <w:rPr>
                <w:rFonts w:ascii="Calibri Light" w:hAnsi="Calibri Light" w:cs="Calibri Light"/>
              </w:rPr>
              <w:t>iemu wymagań, jakim nie jest on</w:t>
            </w:r>
            <w:r w:rsidRPr="00CB2D00">
              <w:rPr>
                <w:rFonts w:ascii="Calibri Light" w:hAnsi="Calibri Light" w:cs="Calibri Light"/>
              </w:rPr>
              <w:t xml:space="preserve"> w stanie sprostać.</w:t>
            </w:r>
          </w:p>
        </w:tc>
      </w:tr>
      <w:tr w:rsidR="00CB2D00" w:rsidRPr="00CB2D00" w14:paraId="2215AD6B" w14:textId="77777777" w:rsidTr="00CB2D00">
        <w:trPr>
          <w:trHeight w:val="1813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0EF342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ind w:left="321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choroby psychiczne</w:t>
            </w:r>
          </w:p>
          <w:p w14:paraId="1A96E7E5" w14:textId="77777777" w:rsidR="00CB2D00" w:rsidRPr="00CB2D00" w:rsidRDefault="00CB2D00" w:rsidP="00CB2D00">
            <w:p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B0985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BB8F82E" w14:textId="2BC5EBDE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Kolejnym czynnikiem ryzyka są choroby psychiczne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D00">
              <w:rPr>
                <w:rFonts w:ascii="Calibri Light" w:hAnsi="Calibri Light" w:cs="Calibri Light"/>
              </w:rPr>
              <w:t xml:space="preserve">małoletniego. Wystąpienie u małoletniego </w:t>
            </w:r>
            <w:r w:rsidR="008709BD">
              <w:rPr>
                <w:rFonts w:ascii="Calibri Light" w:hAnsi="Calibri Light" w:cs="Calibri Light"/>
              </w:rPr>
              <w:t xml:space="preserve">zaburzeń psychicznych wiąże się </w:t>
            </w:r>
            <w:r w:rsidRPr="00CB2D00">
              <w:rPr>
                <w:rFonts w:ascii="Calibri Light" w:hAnsi="Calibri Light" w:cs="Calibri Light"/>
              </w:rPr>
              <w:t>z wysokim poziomem stresu i lęku w rodzinie. Łatwo wtedy o eskalację trudnych zachowań pozostałych domowników, np. agresji i przemocy – zarówno fizycznej, jak i słownej.</w:t>
            </w:r>
          </w:p>
        </w:tc>
      </w:tr>
    </w:tbl>
    <w:p w14:paraId="1E0E36F6" w14:textId="00CEC11F" w:rsidR="00CB2D00" w:rsidRPr="00CB2D00" w:rsidRDefault="00CB2D00" w:rsidP="00CB2D00">
      <w:pPr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 xml:space="preserve"> </w:t>
      </w:r>
    </w:p>
    <w:p w14:paraId="225F46F9" w14:textId="77777777" w:rsidR="00CB2D00" w:rsidRPr="00CB2D00" w:rsidRDefault="00CB2D00" w:rsidP="00CB2D00">
      <w:pPr>
        <w:pStyle w:val="Akapitzlist"/>
        <w:numPr>
          <w:ilvl w:val="0"/>
          <w:numId w:val="4"/>
        </w:numPr>
        <w:ind w:left="426" w:hanging="284"/>
        <w:jc w:val="both"/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  <w:b/>
        </w:rPr>
        <w:t>CZYNNIKI RODZINNE</w:t>
      </w:r>
      <w:r w:rsidRPr="00CB2D00">
        <w:rPr>
          <w:rFonts w:ascii="Calibri Light" w:hAnsi="Calibri Light" w:cs="Calibri Light"/>
        </w:rPr>
        <w:t>, (czyli cechy charakteryzujące funkcjonowanie rodziny oraz cechy poszczególnych jej członków).</w:t>
      </w:r>
    </w:p>
    <w:p w14:paraId="3C327C80" w14:textId="77777777" w:rsidR="00CB2D00" w:rsidRPr="00CB2D00" w:rsidRDefault="00CB2D00" w:rsidP="00CB2D00">
      <w:pPr>
        <w:jc w:val="both"/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 xml:space="preserve"> </w:t>
      </w:r>
    </w:p>
    <w:tbl>
      <w:tblPr>
        <w:tblW w:w="10207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6662"/>
      </w:tblGrid>
      <w:tr w:rsidR="00CB2D00" w:rsidRPr="00CB2D00" w14:paraId="59315A02" w14:textId="77777777" w:rsidTr="00512637">
        <w:trPr>
          <w:trHeight w:val="52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EFD42" w14:textId="77777777" w:rsidR="00CB2D00" w:rsidRPr="00CB2D00" w:rsidRDefault="00CB2D00" w:rsidP="00CB2D0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2D00">
              <w:rPr>
                <w:rFonts w:ascii="Calibri Light" w:hAnsi="Calibri Light" w:cs="Calibri Light"/>
                <w:b/>
              </w:rPr>
              <w:t>Czynniki ryzyka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6C71C" w14:textId="77777777" w:rsidR="00CB2D00" w:rsidRPr="00CB2D00" w:rsidRDefault="00CB2D00" w:rsidP="00CB2D0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2D00">
              <w:rPr>
                <w:rFonts w:ascii="Calibri Light" w:hAnsi="Calibri Light" w:cs="Calibri Light"/>
                <w:b/>
              </w:rPr>
              <w:t>Opis</w:t>
            </w:r>
          </w:p>
        </w:tc>
      </w:tr>
      <w:tr w:rsidR="00CB2D00" w:rsidRPr="00CB2D00" w14:paraId="62F438C0" w14:textId="77777777" w:rsidTr="00512637">
        <w:trPr>
          <w:trHeight w:val="2346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56DA96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ind w:left="184" w:hanging="1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Nieobecność rodziców.</w:t>
            </w:r>
          </w:p>
          <w:p w14:paraId="000CA0DC" w14:textId="77777777" w:rsidR="00CB2D00" w:rsidRPr="00CB2D00" w:rsidRDefault="00CB2D00" w:rsidP="00CB2D00">
            <w:pPr>
              <w:ind w:left="184" w:hanging="1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3CEC4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EA033E8" w14:textId="11190B99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Ryzyko wystąpienia krzywdzenia małoletniego wiąże się z jego opuszczeniem przez jedno lub oboje rodziców. Nieobecność rodziców – fizyczna bądź psychiczna – jes</w:t>
            </w:r>
            <w:r w:rsidR="00944D84">
              <w:rPr>
                <w:rFonts w:ascii="Calibri Light" w:hAnsi="Calibri Light" w:cs="Calibri Light"/>
              </w:rPr>
              <w:t xml:space="preserve">t czynnikiem ryzyka krzywdzenia </w:t>
            </w:r>
            <w:r w:rsidRPr="00CB2D00">
              <w:rPr>
                <w:rFonts w:ascii="Calibri Light" w:hAnsi="Calibri Light" w:cs="Calibri Light"/>
              </w:rPr>
              <w:t>małoletnich, b</w:t>
            </w:r>
            <w:r w:rsidR="00944D84">
              <w:rPr>
                <w:rFonts w:ascii="Calibri Light" w:hAnsi="Calibri Light" w:cs="Calibri Light"/>
              </w:rPr>
              <w:t xml:space="preserve">ez względu na ich wiek. Czynnik ten zwiększa </w:t>
            </w:r>
            <w:r w:rsidRPr="00CB2D00">
              <w:rPr>
                <w:rFonts w:ascii="Calibri Light" w:hAnsi="Calibri Light" w:cs="Calibri Light"/>
              </w:rPr>
              <w:t>prawdopodo</w:t>
            </w:r>
            <w:r w:rsidR="00944D84">
              <w:rPr>
                <w:rFonts w:ascii="Calibri Light" w:hAnsi="Calibri Light" w:cs="Calibri Light"/>
              </w:rPr>
              <w:t xml:space="preserve">bieństwo </w:t>
            </w:r>
            <w:r w:rsidR="00944D84" w:rsidRPr="00B96022">
              <w:rPr>
                <w:rFonts w:ascii="Calibri Light" w:hAnsi="Calibri Light" w:cs="Calibri Light"/>
                <w:b/>
              </w:rPr>
              <w:t>zaniedbania</w:t>
            </w:r>
            <w:r w:rsidR="00944D84">
              <w:rPr>
                <w:rFonts w:ascii="Calibri Light" w:hAnsi="Calibri Light" w:cs="Calibri Light"/>
              </w:rPr>
              <w:t xml:space="preserve"> fizycznego </w:t>
            </w:r>
            <w:r w:rsidRPr="00CB2D00">
              <w:rPr>
                <w:rFonts w:ascii="Calibri Light" w:hAnsi="Calibri Light" w:cs="Calibri Light"/>
              </w:rPr>
              <w:t xml:space="preserve">i emocjonalnego. Konsekwencją tego jest szukanie przez </w:t>
            </w:r>
            <w:r w:rsidRPr="00B96022">
              <w:rPr>
                <w:rFonts w:ascii="Calibri Light" w:hAnsi="Calibri Light" w:cs="Calibri Light"/>
                <w:b/>
              </w:rPr>
              <w:t>małoletnich bliskości i akceptacji</w:t>
            </w:r>
            <w:r w:rsidRPr="00CB2D00">
              <w:rPr>
                <w:rFonts w:ascii="Calibri Light" w:hAnsi="Calibri Light" w:cs="Calibri Light"/>
              </w:rPr>
              <w:t xml:space="preserve"> u osób obcych, które także mogą być potencjalnymi sprawcami krzywdzenia.</w:t>
            </w:r>
          </w:p>
        </w:tc>
      </w:tr>
      <w:tr w:rsidR="00CB2D00" w:rsidRPr="00CB2D00" w14:paraId="5ED82D89" w14:textId="77777777" w:rsidTr="00512637">
        <w:trPr>
          <w:trHeight w:val="2252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20620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Autorytarny styl rodzicielstwa </w:t>
            </w:r>
          </w:p>
          <w:p w14:paraId="7021D46F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doświadczanie przez rodzica przemocy w dzieciństwie,</w:t>
            </w:r>
          </w:p>
          <w:p w14:paraId="5CDFAC38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kondycja psychiczna rodziców.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ED0F7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E03476D" w14:textId="6752DA60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Prawdopodobieństwo wystąpienia przemocy wobec małoletniego związane jest także z tzw. autorytarnym stylem rodzicielstwa, który wynika m.in. z historii życia rodzica, cech jego osobowości oraz kondycji psychicznej. Doświa</w:t>
            </w:r>
            <w:r w:rsidR="00FD1BB4">
              <w:rPr>
                <w:rFonts w:ascii="Calibri Light" w:hAnsi="Calibri Light" w:cs="Calibri Light"/>
              </w:rPr>
              <w:t xml:space="preserve">dczenie przez rodzica przemocy </w:t>
            </w:r>
            <w:r w:rsidRPr="00CB2D00">
              <w:rPr>
                <w:rFonts w:ascii="Calibri Light" w:hAnsi="Calibri Light" w:cs="Calibri Light"/>
              </w:rPr>
              <w:t>w dzieciństwie lub bycie jej świadkiem oraz brak odczuwania bliskości z własnymi rodzicami znacząco zwiększają prawdopodobieństwo powielania podobnych zachowań wob</w:t>
            </w:r>
            <w:r w:rsidR="00B96022">
              <w:rPr>
                <w:rFonts w:ascii="Calibri Light" w:hAnsi="Calibri Light" w:cs="Calibri Light"/>
              </w:rPr>
              <w:t xml:space="preserve">ec małoletnich i wejście w rolę </w:t>
            </w:r>
            <w:r w:rsidRPr="00CB2D00">
              <w:rPr>
                <w:rFonts w:ascii="Calibri Light" w:hAnsi="Calibri Light" w:cs="Calibri Light"/>
              </w:rPr>
              <w:t>sprawcy.</w:t>
            </w:r>
          </w:p>
        </w:tc>
      </w:tr>
      <w:tr w:rsidR="00CB2D00" w:rsidRPr="00CB2D00" w14:paraId="62C7B64D" w14:textId="77777777" w:rsidTr="00512637">
        <w:trPr>
          <w:trHeight w:val="1401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57D43C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Uzależnienia,</w:t>
            </w:r>
          </w:p>
          <w:p w14:paraId="1275D81E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inne zaburzenia psychiczne rodzica,</w:t>
            </w:r>
          </w:p>
          <w:p w14:paraId="4DF0B3F7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konflikty,</w:t>
            </w:r>
          </w:p>
          <w:p w14:paraId="2634E5FF" w14:textId="77777777" w:rsidR="00CB2D00" w:rsidRPr="00CB2D00" w:rsidRDefault="00CB2D00" w:rsidP="00CB2D00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kryzysy.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82441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443A96D" w14:textId="0664A67E" w:rsidR="00CB2D00" w:rsidRPr="00CB2D00" w:rsidRDefault="00CB2D00" w:rsidP="00694A6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Uzależnienia i inne zaburzenia </w:t>
            </w:r>
            <w:r w:rsidR="00FC4C7F">
              <w:rPr>
                <w:rFonts w:ascii="Calibri Light" w:hAnsi="Calibri Light" w:cs="Calibri Light"/>
              </w:rPr>
              <w:t xml:space="preserve">psychiczne rodzica są przyczyną </w:t>
            </w:r>
            <w:r w:rsidRPr="00CB2D00">
              <w:rPr>
                <w:rFonts w:ascii="Calibri Light" w:hAnsi="Calibri Light" w:cs="Calibri Light"/>
              </w:rPr>
              <w:t xml:space="preserve">większego ryzyka doświadczenia przez małoletnich krzywdzenia. Agresji </w:t>
            </w:r>
            <w:r w:rsidR="00694A60">
              <w:rPr>
                <w:rFonts w:ascii="Calibri Light" w:hAnsi="Calibri Light" w:cs="Calibri Light"/>
              </w:rPr>
              <w:t>oraz/lub</w:t>
            </w:r>
            <w:r w:rsidRPr="00CB2D00">
              <w:rPr>
                <w:rFonts w:ascii="Calibri Light" w:hAnsi="Calibri Light" w:cs="Calibri Light"/>
              </w:rPr>
              <w:t xml:space="preserve"> innym formom krzywdzenia w rodzinie sprzyjają też konflikty i kryzysy. </w:t>
            </w:r>
          </w:p>
        </w:tc>
      </w:tr>
      <w:tr w:rsidR="00CB2D00" w:rsidRPr="00CB2D00" w14:paraId="35DFFBFE" w14:textId="77777777" w:rsidTr="00512637">
        <w:trPr>
          <w:trHeight w:val="2016"/>
        </w:trPr>
        <w:tc>
          <w:tcPr>
            <w:tcW w:w="354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A9A3FB" w14:textId="77777777" w:rsidR="00CB2D00" w:rsidRPr="00CB2D00" w:rsidRDefault="00CB2D00" w:rsidP="00CB2D00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lastRenderedPageBreak/>
              <w:t>Samotne rodzicielstwo,</w:t>
            </w:r>
          </w:p>
          <w:p w14:paraId="61049F43" w14:textId="77777777" w:rsidR="00CB2D00" w:rsidRPr="00B96022" w:rsidRDefault="00CB2D00" w:rsidP="00CB2D00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Calibri Light" w:hAnsi="Calibri Light" w:cs="Calibri Light"/>
                <w:u w:val="single"/>
              </w:rPr>
            </w:pPr>
            <w:r w:rsidRPr="00B96022">
              <w:rPr>
                <w:rFonts w:ascii="Calibri Light" w:hAnsi="Calibri Light" w:cs="Calibri Light"/>
                <w:u w:val="single"/>
              </w:rPr>
              <w:t>obecność niespokrewnionych osób dorosłych w rodzinie.</w:t>
            </w:r>
          </w:p>
          <w:p w14:paraId="095EA755" w14:textId="77777777" w:rsidR="00CB2D00" w:rsidRPr="00CB2D00" w:rsidRDefault="00CB2D00" w:rsidP="00CB2D00">
            <w:pPr>
              <w:rPr>
                <w:rFonts w:ascii="Calibri Light" w:hAnsi="Calibri Light" w:cs="Calibri Light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62121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107199C7" w14:textId="77777777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Do czynników ryzyka krzywdzenia zaliczane jest także samotne rodzicielstwo, będące dla wielu osób sporym wyzwaniem. Ograniczona ilość czasu, który rodzic może poświęcić małoletniemu, jest przyczyną trudności w budowaniu bliskiej relacji z małoletnim. Dodatkowo, niestabilna sytuacja rodzinna: brak wsparcia, obecność niespokrewnionych z małoletnim osób, mogą powodować ryzyko wystąpienia odrzucenia i agresji lub nieprawidłowych relacji.</w:t>
            </w:r>
          </w:p>
          <w:p w14:paraId="71250FE7" w14:textId="77777777" w:rsidR="00CB2D00" w:rsidRPr="00CB2D00" w:rsidRDefault="00CB2D00" w:rsidP="00CB2D00">
            <w:pPr>
              <w:tabs>
                <w:tab w:val="left" w:pos="2379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B2D00" w:rsidRPr="00CB2D00" w14:paraId="126E9655" w14:textId="77777777" w:rsidTr="00512637">
        <w:trPr>
          <w:trHeight w:val="1878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D3087A" w14:textId="77777777" w:rsidR="00CB2D00" w:rsidRPr="00CB2D00" w:rsidRDefault="00CB2D00" w:rsidP="00CB2D00">
            <w:pPr>
              <w:pStyle w:val="Akapitzlist"/>
              <w:numPr>
                <w:ilvl w:val="0"/>
                <w:numId w:val="6"/>
              </w:numPr>
              <w:ind w:left="184" w:hanging="1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Rodzina zastępcza,</w:t>
            </w:r>
          </w:p>
          <w:p w14:paraId="76F91BEA" w14:textId="77777777" w:rsidR="00CB2D00" w:rsidRPr="00CB2D00" w:rsidRDefault="00CB2D00" w:rsidP="00CB2D00">
            <w:pPr>
              <w:pStyle w:val="Akapitzlist"/>
              <w:numPr>
                <w:ilvl w:val="0"/>
                <w:numId w:val="6"/>
              </w:numPr>
              <w:ind w:left="184" w:hanging="1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rodzina adopcyjna.</w:t>
            </w:r>
          </w:p>
          <w:p w14:paraId="4DB0D9EA" w14:textId="77777777" w:rsidR="00CB2D00" w:rsidRPr="00CB2D00" w:rsidRDefault="00CB2D00" w:rsidP="00CB2D00">
            <w:pPr>
              <w:rPr>
                <w:rFonts w:ascii="Calibri Light" w:hAnsi="Calibri Light" w:cs="Calibri Light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4D43B" w14:textId="640D54B3" w:rsidR="00CB2D00" w:rsidRPr="00CB2D00" w:rsidRDefault="00CB2D00" w:rsidP="00FC4C7F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Istotnym czynnikiem ryz</w:t>
            </w:r>
            <w:r w:rsidR="00FC4C7F">
              <w:rPr>
                <w:rFonts w:ascii="Calibri Light" w:hAnsi="Calibri Light" w:cs="Calibri Light"/>
              </w:rPr>
              <w:t xml:space="preserve">yka jest obecność małoletniego </w:t>
            </w:r>
            <w:r w:rsidRPr="00CB2D00">
              <w:rPr>
                <w:rFonts w:ascii="Calibri Light" w:hAnsi="Calibri Light" w:cs="Calibri Light"/>
              </w:rPr>
              <w:t>w nieprzygotowanej wychowawczo i merytorycznie rodzinie zastępczej czy adopcyjnej. Rodzice przyjmujący małoletni</w:t>
            </w:r>
            <w:r w:rsidR="00FC4C7F">
              <w:rPr>
                <w:rFonts w:ascii="Calibri Light" w:hAnsi="Calibri Light" w:cs="Calibri Light"/>
              </w:rPr>
              <w:t>ego</w:t>
            </w:r>
            <w:r w:rsidRPr="00CB2D00">
              <w:rPr>
                <w:rFonts w:ascii="Calibri Light" w:hAnsi="Calibri Light" w:cs="Calibri Light"/>
              </w:rPr>
              <w:t xml:space="preserve"> pod swoją opiekę bywają niegotowi do tego, aby radzić sobie z bardzo trudnymi emocjami skrzywdzonego wcześniej małoletniego. Odrzucenie, skrajna przemoc, których małoletni </w:t>
            </w:r>
            <w:r w:rsidR="00FC4C7F">
              <w:rPr>
                <w:rFonts w:ascii="Calibri Light" w:hAnsi="Calibri Light" w:cs="Calibri Light"/>
              </w:rPr>
              <w:t>mógł</w:t>
            </w:r>
            <w:r w:rsidRPr="00CB2D00">
              <w:rPr>
                <w:rFonts w:ascii="Calibri Light" w:hAnsi="Calibri Light" w:cs="Calibri Light"/>
              </w:rPr>
              <w:t xml:space="preserve"> doświadczyć, wpływają na jego zachowanie oraz funkcjonowanie ca</w:t>
            </w:r>
            <w:r w:rsidR="00FC4C7F">
              <w:rPr>
                <w:rFonts w:ascii="Calibri Light" w:hAnsi="Calibri Light" w:cs="Calibri Light"/>
              </w:rPr>
              <w:t>łego systemu rodzinnego. Porzuceni</w:t>
            </w:r>
            <w:r w:rsidRPr="00CB2D00">
              <w:rPr>
                <w:rFonts w:ascii="Calibri Light" w:hAnsi="Calibri Light" w:cs="Calibri Light"/>
              </w:rPr>
              <w:t xml:space="preserve"> małoletni postrzegają siebie jako niegodne miłości, mało ważne i zasługujące na karę. Swoim zachowaniem często prowokują do odrzucenia czy ukarania, by utwierdzić się w przekonaniach. Kary reaktywują wcześniejsze traumy małoletniego i dezorganizują jego zachowanie, względem którego rodzice są bezradni.</w:t>
            </w:r>
          </w:p>
        </w:tc>
      </w:tr>
    </w:tbl>
    <w:p w14:paraId="3789E584" w14:textId="77777777" w:rsidR="00CB2D00" w:rsidRPr="00CB2D00" w:rsidRDefault="00CB2D00" w:rsidP="00CB2D00">
      <w:pPr>
        <w:rPr>
          <w:rFonts w:ascii="Calibri Light" w:hAnsi="Calibri Light" w:cs="Calibri Light"/>
          <w:b/>
        </w:rPr>
      </w:pPr>
      <w:r w:rsidRPr="00CB2D00">
        <w:rPr>
          <w:rFonts w:ascii="Calibri Light" w:hAnsi="Calibri Light" w:cs="Calibri Light"/>
          <w:b/>
        </w:rPr>
        <w:t xml:space="preserve"> </w:t>
      </w:r>
    </w:p>
    <w:p w14:paraId="4036B9FE" w14:textId="77777777" w:rsidR="00CB2D00" w:rsidRPr="00CB2D00" w:rsidRDefault="00CB2D00" w:rsidP="00CB2D00">
      <w:pPr>
        <w:pStyle w:val="Akapitzlist"/>
        <w:numPr>
          <w:ilvl w:val="0"/>
          <w:numId w:val="4"/>
        </w:numPr>
        <w:ind w:left="426" w:hanging="284"/>
        <w:rPr>
          <w:rFonts w:ascii="Calibri Light" w:hAnsi="Calibri Light" w:cs="Calibri Light"/>
          <w:b/>
        </w:rPr>
      </w:pPr>
      <w:r w:rsidRPr="00CB2D00">
        <w:rPr>
          <w:rFonts w:ascii="Calibri Light" w:hAnsi="Calibri Light" w:cs="Calibri Light"/>
          <w:b/>
        </w:rPr>
        <w:t>CZYNNIKI ZWIĄZANE ZE ŚRODOWISKIEM SPOŁECZNYM:</w:t>
      </w:r>
    </w:p>
    <w:p w14:paraId="0E8A123A" w14:textId="77777777" w:rsidR="00CB2D00" w:rsidRPr="00CB2D00" w:rsidRDefault="00CB2D00" w:rsidP="00CB2D00">
      <w:pPr>
        <w:pStyle w:val="Akapitzlist"/>
        <w:ind w:left="426"/>
        <w:rPr>
          <w:rFonts w:ascii="Calibri Light" w:hAnsi="Calibri Light" w:cs="Calibri Light"/>
          <w:b/>
        </w:rPr>
      </w:pPr>
    </w:p>
    <w:tbl>
      <w:tblPr>
        <w:tblW w:w="10207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6662"/>
      </w:tblGrid>
      <w:tr w:rsidR="00CB2D00" w:rsidRPr="00CB2D00" w14:paraId="50CF9C4A" w14:textId="77777777" w:rsidTr="00CB2D00">
        <w:trPr>
          <w:trHeight w:val="52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A0373" w14:textId="77777777" w:rsidR="00CB2D00" w:rsidRPr="00CB2D00" w:rsidRDefault="00CB2D00" w:rsidP="00CB2D0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2D00">
              <w:rPr>
                <w:rFonts w:ascii="Calibri Light" w:hAnsi="Calibri Light" w:cs="Calibri Light"/>
                <w:b/>
              </w:rPr>
              <w:t>Czynniki ryzyka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33E72" w14:textId="77777777" w:rsidR="00CB2D00" w:rsidRPr="00CB2D00" w:rsidRDefault="00CB2D00" w:rsidP="00CB2D0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2D00">
              <w:rPr>
                <w:rFonts w:ascii="Calibri Light" w:hAnsi="Calibri Light" w:cs="Calibri Light"/>
                <w:b/>
              </w:rPr>
              <w:t>Opis</w:t>
            </w:r>
          </w:p>
        </w:tc>
      </w:tr>
      <w:tr w:rsidR="00CB2D00" w:rsidRPr="00CB2D00" w14:paraId="6FD67F02" w14:textId="77777777" w:rsidTr="00CB2D00">
        <w:trPr>
          <w:trHeight w:val="2084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ABACE8" w14:textId="77777777" w:rsidR="00CB2D00" w:rsidRPr="00CB2D00" w:rsidRDefault="00CB2D00" w:rsidP="00CB2D00">
            <w:pPr>
              <w:pStyle w:val="Akapitzlist"/>
              <w:numPr>
                <w:ilvl w:val="0"/>
                <w:numId w:val="7"/>
              </w:num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izolacja społeczna.</w:t>
            </w:r>
          </w:p>
          <w:p w14:paraId="20151AF2" w14:textId="77777777" w:rsidR="00CB2D00" w:rsidRPr="00CB2D00" w:rsidRDefault="00CB2D00" w:rsidP="00CB2D00">
            <w:p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B78782" w14:textId="6CC0A742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Do tej grupy zalicza się głównie izolację społeczną, rozumianą jako ubogie kontakty małoletniego i jego rodziny z innymi osobami </w:t>
            </w:r>
            <w:r>
              <w:rPr>
                <w:rFonts w:ascii="Calibri Light" w:hAnsi="Calibri Light" w:cs="Calibri Light"/>
              </w:rPr>
              <w:br/>
            </w:r>
            <w:r w:rsidRPr="00CB2D00">
              <w:rPr>
                <w:rFonts w:ascii="Calibri Light" w:hAnsi="Calibri Light" w:cs="Calibri Light"/>
              </w:rPr>
              <w:t xml:space="preserve">lub grupami oraz </w:t>
            </w:r>
            <w:r w:rsidRPr="008C7801">
              <w:rPr>
                <w:rFonts w:ascii="Calibri Light" w:hAnsi="Calibri Light" w:cs="Calibri Light"/>
                <w:b/>
              </w:rPr>
              <w:t>zamknięcie na relacje pozarodzinne</w:t>
            </w:r>
            <w:r w:rsidRPr="00CB2D00">
              <w:rPr>
                <w:rFonts w:ascii="Calibri Light" w:hAnsi="Calibri Light" w:cs="Calibri Light"/>
              </w:rPr>
              <w:t>. Sytuacja taka może sprzyjać rozwojowi prze</w:t>
            </w:r>
            <w:r w:rsidR="00C046F2">
              <w:rPr>
                <w:rFonts w:ascii="Calibri Light" w:hAnsi="Calibri Light" w:cs="Calibri Light"/>
              </w:rPr>
              <w:t xml:space="preserve">mocy, a także większej kontroli </w:t>
            </w:r>
            <w:r w:rsidRPr="00CB2D00">
              <w:rPr>
                <w:rFonts w:ascii="Calibri Light" w:hAnsi="Calibri Light" w:cs="Calibri Light"/>
              </w:rPr>
              <w:t>sprawcy nad swoimi ofiarami oraz ograniczać sza</w:t>
            </w:r>
            <w:bookmarkStart w:id="0" w:name="_GoBack"/>
            <w:bookmarkEnd w:id="0"/>
            <w:r w:rsidRPr="00CB2D00">
              <w:rPr>
                <w:rFonts w:ascii="Calibri Light" w:hAnsi="Calibri Light" w:cs="Calibri Light"/>
              </w:rPr>
              <w:t>nse na jej ujawnienie i udzielenie pomocy.</w:t>
            </w:r>
          </w:p>
        </w:tc>
      </w:tr>
      <w:tr w:rsidR="00CB2D00" w:rsidRPr="00CB2D00" w14:paraId="716170DC" w14:textId="77777777" w:rsidTr="00CB2D00">
        <w:trPr>
          <w:trHeight w:val="1675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D36870" w14:textId="77777777" w:rsidR="00CB2D00" w:rsidRPr="00CB2D00" w:rsidRDefault="00CB2D00" w:rsidP="00CB2D00">
            <w:pPr>
              <w:pStyle w:val="Akapitzlist"/>
              <w:numPr>
                <w:ilvl w:val="0"/>
                <w:numId w:val="7"/>
              </w:num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ubóstwo w najbliższym otoczeniu rodziny.</w:t>
            </w:r>
          </w:p>
          <w:p w14:paraId="535A5C24" w14:textId="77777777" w:rsidR="00CB2D00" w:rsidRPr="00CB2D00" w:rsidRDefault="00CB2D00" w:rsidP="00CB2D00">
            <w:p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8DA78C" w14:textId="14C96B18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Ryzyko wystąpienia krzywdzenia małoletni niosą też: ograniczenie możliwości zaspokajania potrzeb materialnych i zdrowotnych, złe warunki mieszkaniowe czy skrajne ubóstwo. Takim sytuacjom często towarzyszy stres rodziców, którzy muszą zapewnić przetrwanie sobie i małoletniemu.</w:t>
            </w:r>
          </w:p>
        </w:tc>
      </w:tr>
      <w:tr w:rsidR="00CB2D00" w:rsidRPr="00CB2D00" w14:paraId="62C801C6" w14:textId="77777777" w:rsidTr="00CB2D00">
        <w:trPr>
          <w:trHeight w:val="1121"/>
        </w:trPr>
        <w:tc>
          <w:tcPr>
            <w:tcW w:w="3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33A14E" w14:textId="77777777" w:rsidR="00CB2D00" w:rsidRPr="00CB2D00" w:rsidRDefault="00CB2D00" w:rsidP="00CB2D00">
            <w:pPr>
              <w:pStyle w:val="Akapitzlist"/>
              <w:numPr>
                <w:ilvl w:val="0"/>
                <w:numId w:val="7"/>
              </w:num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przemoc i patologia.</w:t>
            </w:r>
          </w:p>
          <w:p w14:paraId="51C01111" w14:textId="77777777" w:rsidR="00CB2D00" w:rsidRPr="00CB2D00" w:rsidRDefault="00CB2D00" w:rsidP="00CB2D00">
            <w:pPr>
              <w:ind w:left="326" w:hanging="284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5B89F3" w14:textId="41B0C779" w:rsidR="00CB2D00" w:rsidRPr="00CB2D00" w:rsidRDefault="00CB2D00" w:rsidP="00CB2D00">
            <w:pPr>
              <w:jc w:val="both"/>
              <w:rPr>
                <w:rFonts w:ascii="Calibri Light" w:hAnsi="Calibri Light" w:cs="Calibri Light"/>
              </w:rPr>
            </w:pPr>
            <w:r w:rsidRPr="00CB2D00">
              <w:rPr>
                <w:rFonts w:ascii="Calibri Light" w:hAnsi="Calibri Light" w:cs="Calibri Light"/>
              </w:rPr>
              <w:t>Czynnikami ryzyka krzywdzenia małoletniego są także przemoc i patologia społeczna występujące w najbliższym środowisku zamieszkania.</w:t>
            </w:r>
          </w:p>
        </w:tc>
      </w:tr>
    </w:tbl>
    <w:p w14:paraId="44639113" w14:textId="752CAC38" w:rsidR="00882D3F" w:rsidRPr="00CB2D00" w:rsidRDefault="00CB2D00">
      <w:pPr>
        <w:rPr>
          <w:rFonts w:ascii="Calibri Light" w:hAnsi="Calibri Light" w:cs="Calibri Light"/>
        </w:rPr>
      </w:pPr>
      <w:r w:rsidRPr="00CB2D00">
        <w:rPr>
          <w:rFonts w:ascii="Calibri Light" w:hAnsi="Calibri Light" w:cs="Calibri Light"/>
        </w:rPr>
        <w:t xml:space="preserve"> </w:t>
      </w:r>
    </w:p>
    <w:sectPr w:rsidR="00882D3F" w:rsidRPr="00CB2D00" w:rsidSect="00CB2D0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5A5"/>
    <w:multiLevelType w:val="hybridMultilevel"/>
    <w:tmpl w:val="DE529E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257548"/>
    <w:multiLevelType w:val="hybridMultilevel"/>
    <w:tmpl w:val="330C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4B2"/>
    <w:multiLevelType w:val="hybridMultilevel"/>
    <w:tmpl w:val="9BF4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696"/>
    <w:multiLevelType w:val="hybridMultilevel"/>
    <w:tmpl w:val="63C0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AAD"/>
    <w:multiLevelType w:val="hybridMultilevel"/>
    <w:tmpl w:val="8446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D47"/>
    <w:multiLevelType w:val="hybridMultilevel"/>
    <w:tmpl w:val="AAB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65F"/>
    <w:multiLevelType w:val="hybridMultilevel"/>
    <w:tmpl w:val="E866388A"/>
    <w:lvl w:ilvl="0" w:tplc="653AFD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07"/>
    <w:rsid w:val="00046073"/>
    <w:rsid w:val="00146F7F"/>
    <w:rsid w:val="00193CF4"/>
    <w:rsid w:val="002F082D"/>
    <w:rsid w:val="0042727C"/>
    <w:rsid w:val="005811CA"/>
    <w:rsid w:val="005A13FD"/>
    <w:rsid w:val="005D3E65"/>
    <w:rsid w:val="00694A60"/>
    <w:rsid w:val="008709BD"/>
    <w:rsid w:val="00882D3F"/>
    <w:rsid w:val="008C7801"/>
    <w:rsid w:val="00944D84"/>
    <w:rsid w:val="00A950C6"/>
    <w:rsid w:val="00AE16D6"/>
    <w:rsid w:val="00B66F67"/>
    <w:rsid w:val="00B96022"/>
    <w:rsid w:val="00C02607"/>
    <w:rsid w:val="00C046F2"/>
    <w:rsid w:val="00C94936"/>
    <w:rsid w:val="00CB2D00"/>
    <w:rsid w:val="00CF2F0B"/>
    <w:rsid w:val="00FC4C7F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288E"/>
  <w15:chartTrackingRefBased/>
  <w15:docId w15:val="{916744B4-ABF7-4D19-9070-0D03FE1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0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D00"/>
    <w:pPr>
      <w:ind w:left="720"/>
      <w:contextualSpacing/>
    </w:pPr>
  </w:style>
  <w:style w:type="table" w:styleId="Tabela-Siatka">
    <w:name w:val="Table Grid"/>
    <w:basedOn w:val="Standardowy"/>
    <w:uiPriority w:val="39"/>
    <w:rsid w:val="00CB2D00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Użytkownik systemu Windows</cp:lastModifiedBy>
  <cp:revision>22</cp:revision>
  <dcterms:created xsi:type="dcterms:W3CDTF">2024-02-17T08:21:00Z</dcterms:created>
  <dcterms:modified xsi:type="dcterms:W3CDTF">2024-04-23T09:16:00Z</dcterms:modified>
</cp:coreProperties>
</file>